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26B66710"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культуры Каневского сельского поселения Каневского района «Парк культуры и отдыха имени 30-летия Победы»</w:t>
      </w:r>
    </w:p>
    <w:p w14:paraId="78590F73" w14:textId="77777777" w:rsidR="00C31981" w:rsidRPr="002D35B4" w:rsidRDefault="0022469C" w:rsidP="00C31981">
      <w:pPr>
        <w:rPr>
          <w:lang w:val="ru-RU"/>
        </w:rPr>
      </w:pPr>
      <w:r w:rsidRPr="00D57333">
        <w:rPr>
          <w:rFonts w:hAnsi="Times New Roman" w:cs="Times New Roman"/>
          <w:color w:val="000000"/>
          <w:sz w:val="24"/>
          <w:szCs w:val="24"/>
          <w:lang w:val="ru-RU"/>
        </w:rPr>
        <w:t xml:space="preserve">В соответствии с требованиями пункта 9 Стандарта «Учетная политика, оценочные значения и ошибки», утвержденного приказом Минфина от 30.12.2017 № 274н, </w:t>
      </w:r>
      <w:r w:rsidR="00C31981" w:rsidRPr="002D35B4">
        <w:rPr>
          <w:lang w:val="ru-RU"/>
        </w:rPr>
        <w:t>Федерального стандарта «Единый план счетов бухгалтерского учета государственных финансов», утвержденного приказом Минфина от 30.08.2024 № 121н</w:t>
      </w:r>
    </w:p>
    <w:p w14:paraId="2E6CC44F" w14:textId="0BB2A7B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58C8C5A9"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МБУК «Парк К и О им.30-летия Победы</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w:t>
      </w:r>
      <w:r w:rsidR="00C31981">
        <w:rPr>
          <w:rFonts w:hAnsi="Times New Roman" w:cs="Times New Roman"/>
          <w:color w:val="000000"/>
          <w:sz w:val="24"/>
          <w:szCs w:val="24"/>
          <w:lang w:val="ru-RU"/>
        </w:rPr>
        <w:t>9</w:t>
      </w:r>
      <w:r w:rsidRPr="00D57333">
        <w:rPr>
          <w:rFonts w:hAnsi="Times New Roman" w:cs="Times New Roman"/>
          <w:color w:val="000000"/>
          <w:sz w:val="24"/>
          <w:szCs w:val="24"/>
          <w:lang w:val="ru-RU"/>
        </w:rPr>
        <w:t>.</w:t>
      </w:r>
      <w:r w:rsidR="00AA43A6">
        <w:rPr>
          <w:rFonts w:hAnsi="Times New Roman" w:cs="Times New Roman"/>
          <w:color w:val="000000"/>
          <w:sz w:val="24"/>
          <w:szCs w:val="24"/>
          <w:lang w:val="ru-RU"/>
        </w:rPr>
        <w:t>03</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C31981">
        <w:rPr>
          <w:rFonts w:hAnsi="Times New Roman" w:cs="Times New Roman"/>
          <w:color w:val="000000"/>
          <w:sz w:val="24"/>
          <w:szCs w:val="24"/>
          <w:lang w:val="ru-RU"/>
        </w:rPr>
        <w:t>238</w:t>
      </w:r>
    </w:p>
    <w:p w14:paraId="1517A490" w14:textId="6284B679"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2D06BC">
        <w:rPr>
          <w:rFonts w:hAnsi="Times New Roman" w:cs="Times New Roman"/>
          <w:color w:val="000000"/>
          <w:sz w:val="24"/>
          <w:szCs w:val="24"/>
          <w:lang w:val="ru-RU"/>
        </w:rPr>
        <w:t xml:space="preserve">централизованная </w:t>
      </w:r>
      <w:r w:rsidRPr="00D57333">
        <w:rPr>
          <w:rFonts w:hAnsi="Times New Roman" w:cs="Times New Roman"/>
          <w:color w:val="000000"/>
          <w:sz w:val="24"/>
          <w:szCs w:val="24"/>
          <w:lang w:val="ru-RU"/>
        </w:rPr>
        <w:t>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w:t>
      </w:r>
      <w:bookmarkStart w:id="0" w:name="_GoBack"/>
      <w:bookmarkEnd w:id="0"/>
      <w:r w:rsidRPr="00D57333">
        <w:rPr>
          <w:rFonts w:hAnsi="Times New Roman" w:cs="Times New Roman"/>
          <w:color w:val="000000"/>
          <w:sz w:val="24"/>
          <w:szCs w:val="24"/>
          <w:lang w:val="ru-RU"/>
        </w:rPr>
        <w:t>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57333">
        <w:rPr>
          <w:rFonts w:hAnsi="Times New Roman" w:cs="Times New Roman"/>
          <w:color w:val="000000"/>
          <w:sz w:val="24"/>
          <w:szCs w:val="24"/>
          <w:lang w:val="ru-RU"/>
        </w:rPr>
        <w:t>выбываемых</w:t>
      </w:r>
      <w:proofErr w:type="spellEnd"/>
      <w:r w:rsidRPr="00D57333">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09BD6985"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4285C931"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21842748" w14:textId="77777777" w:rsidR="00CD3B67" w:rsidRDefault="0022469C">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14:paraId="65E3BDC3" w14:textId="77777777" w:rsidR="00CD3B67" w:rsidRDefault="0022469C">
      <w:pPr>
        <w:numPr>
          <w:ilvl w:val="0"/>
          <w:numId w:val="3"/>
        </w:numPr>
        <w:ind w:left="780" w:right="180"/>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w:t>
      </w:r>
      <w:proofErr w:type="spellStart"/>
      <w:r w:rsidRPr="00D57333">
        <w:rPr>
          <w:rFonts w:hAnsi="Times New Roman" w:cs="Times New Roman"/>
          <w:color w:val="000000"/>
          <w:sz w:val="24"/>
          <w:szCs w:val="24"/>
          <w:lang w:val="ru-RU"/>
        </w:rPr>
        <w:t>разукомплектации</w:t>
      </w:r>
      <w:proofErr w:type="spellEnd"/>
      <w:r w:rsidRPr="00D57333">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14:paraId="5D82333C"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14:paraId="66F47004"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14:paraId="4A7A46E2" w14:textId="77777777" w:rsidR="00CD3B67" w:rsidRDefault="0022469C">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D57333">
        <w:rPr>
          <w:rFonts w:hAnsi="Times New Roman" w:cs="Times New Roman"/>
          <w:color w:val="000000"/>
          <w:sz w:val="24"/>
          <w:szCs w:val="24"/>
          <w:lang w:val="ru-RU"/>
        </w:rPr>
        <w:t>дооборудований</w:t>
      </w:r>
      <w:proofErr w:type="spellEnd"/>
      <w:r w:rsidRPr="00D57333">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14:paraId="6F8C5460" w14:textId="77777777" w:rsidR="00CD3B67" w:rsidRDefault="0022469C">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14:paraId="758DE833" w14:textId="77777777" w:rsidR="00CD3B67" w:rsidRDefault="0022469C">
      <w:pPr>
        <w:numPr>
          <w:ilvl w:val="0"/>
          <w:numId w:val="5"/>
        </w:numPr>
        <w:ind w:left="780" w:right="180"/>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17. В </w:t>
      </w:r>
      <w:proofErr w:type="gramStart"/>
      <w:r w:rsidRPr="00D57333">
        <w:rPr>
          <w:rFonts w:hAnsi="Times New Roman" w:cs="Times New Roman"/>
          <w:color w:val="000000"/>
          <w:sz w:val="24"/>
          <w:szCs w:val="24"/>
          <w:lang w:val="ru-RU"/>
        </w:rPr>
        <w:t>случаях</w:t>
      </w:r>
      <w:proofErr w:type="gramEnd"/>
      <w:r w:rsidRPr="00D57333">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перечисления </w:t>
      </w:r>
      <w:proofErr w:type="gramStart"/>
      <w:r w:rsidRPr="00D57333">
        <w:rPr>
          <w:rFonts w:hAnsi="Times New Roman" w:cs="Times New Roman"/>
          <w:color w:val="000000"/>
          <w:sz w:val="24"/>
          <w:szCs w:val="24"/>
          <w:lang w:val="ru-RU"/>
        </w:rPr>
        <w:t>на  карту</w:t>
      </w:r>
      <w:proofErr w:type="gramEnd"/>
      <w:r w:rsidRPr="00D57333">
        <w:rPr>
          <w:rFonts w:hAnsi="Times New Roman" w:cs="Times New Roman"/>
          <w:color w:val="000000"/>
          <w:sz w:val="24"/>
          <w:szCs w:val="24"/>
          <w:lang w:val="ru-RU"/>
        </w:rPr>
        <w:t xml:space="preserve">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 xml:space="preserve">судом, сумма резерва списывается с учета методом «красное </w:t>
      </w:r>
      <w:proofErr w:type="spellStart"/>
      <w:r w:rsidRPr="00D57333">
        <w:rPr>
          <w:rFonts w:hAnsi="Times New Roman" w:cs="Times New Roman"/>
          <w:color w:val="000000"/>
          <w:sz w:val="24"/>
          <w:szCs w:val="24"/>
          <w:lang w:val="ru-RU"/>
        </w:rPr>
        <w:t>сторно</w:t>
      </w:r>
      <w:proofErr w:type="spellEnd"/>
      <w:r w:rsidRPr="00D57333">
        <w:rPr>
          <w:rFonts w:hAnsi="Times New Roman" w:cs="Times New Roman"/>
          <w:color w:val="000000"/>
          <w:sz w:val="24"/>
          <w:szCs w:val="24"/>
          <w:lang w:val="ru-RU"/>
        </w:rPr>
        <w:t>».</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График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документооборота</w:t>
      </w:r>
      <w:proofErr w:type="spellEnd"/>
      <w:r>
        <w:rPr>
          <w:rFonts w:hAnsi="Times New Roman" w:cs="Times New Roman"/>
          <w:color w:val="000000"/>
          <w:sz w:val="24"/>
          <w:szCs w:val="24"/>
        </w:rPr>
        <w:t>.</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инвентаризации</w:t>
      </w:r>
      <w:proofErr w:type="spellEnd"/>
      <w:r>
        <w:rPr>
          <w:rFonts w:hAnsi="Times New Roman" w:cs="Times New Roman"/>
          <w:color w:val="000000"/>
          <w:sz w:val="24"/>
          <w:szCs w:val="24"/>
        </w:rPr>
        <w:t>.</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4F9A54AA" w14:textId="77777777" w:rsidR="00AA43A6" w:rsidRDefault="00AA43A6" w:rsidP="00CC6055">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Директор МБУК «Парк К и О </w:t>
      </w:r>
    </w:p>
    <w:p w14:paraId="212D9DC7" w14:textId="78ED0D90" w:rsidR="00AA43A6" w:rsidRDefault="00AA43A6" w:rsidP="00F04B20">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им.30-летия Победы»</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proofErr w:type="gramStart"/>
      <w:r>
        <w:rPr>
          <w:rFonts w:hAnsi="Times New Roman" w:cs="Times New Roman"/>
          <w:color w:val="000000"/>
          <w:sz w:val="24"/>
          <w:szCs w:val="24"/>
          <w:lang w:val="ru-RU"/>
        </w:rPr>
        <w:tab/>
        <w:t xml:space="preserve">  </w:t>
      </w:r>
      <w:proofErr w:type="spellStart"/>
      <w:r>
        <w:rPr>
          <w:rFonts w:hAnsi="Times New Roman" w:cs="Times New Roman"/>
          <w:color w:val="000000"/>
          <w:sz w:val="24"/>
          <w:szCs w:val="24"/>
          <w:lang w:val="ru-RU"/>
        </w:rPr>
        <w:t>В.В.Щербаков</w:t>
      </w:r>
      <w:proofErr w:type="spellEnd"/>
      <w:proofErr w:type="gramEnd"/>
    </w:p>
    <w:sectPr w:rsidR="00AA43A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D06BC"/>
    <w:rsid w:val="002D33B1"/>
    <w:rsid w:val="002D3591"/>
    <w:rsid w:val="003514A0"/>
    <w:rsid w:val="004F7E17"/>
    <w:rsid w:val="005A05CE"/>
    <w:rsid w:val="00653AF6"/>
    <w:rsid w:val="00AA43A6"/>
    <w:rsid w:val="00B73A5A"/>
    <w:rsid w:val="00C31981"/>
    <w:rsid w:val="00CC6055"/>
    <w:rsid w:val="00CD3B67"/>
    <w:rsid w:val="00D57333"/>
    <w:rsid w:val="00E438A1"/>
    <w:rsid w:val="00F01E19"/>
    <w:rsid w:val="00F0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8</cp:revision>
  <dcterms:created xsi:type="dcterms:W3CDTF">2011-11-02T04:15:00Z</dcterms:created>
  <dcterms:modified xsi:type="dcterms:W3CDTF">2026-02-11T08:16:00Z</dcterms:modified>
</cp:coreProperties>
</file>