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F38BD" w:rsidRPr="003268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0AC" w:rsidRDefault="00326875" w:rsidP="000B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«Парк культуры и отдыха 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 30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-летия 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ККВ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B20AC" w:rsidRPr="00326875" w:rsidRDefault="000B20AC" w:rsidP="00722065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23340201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КПП 233401001 , ОКПО 961011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 w:rsidP="000B20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2F38BD" w:rsidRDefault="002F38B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33F0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722065">
        <w:rPr>
          <w:rFonts w:hAnsi="Times New Roman" w:cs="Times New Roman"/>
          <w:color w:val="000000"/>
          <w:sz w:val="24"/>
          <w:szCs w:val="24"/>
          <w:lang w:val="ru-RU"/>
        </w:rPr>
        <w:t>54</w:t>
      </w: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0"/>
        <w:gridCol w:w="7611"/>
      </w:tblGrid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220C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1363F4" w:rsidP="0072206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</w:t>
            </w:r>
            <w:r w:rsidR="002233F0">
              <w:rPr>
                <w:lang w:val="ru-RU"/>
              </w:rPr>
              <w:t>1</w:t>
            </w:r>
            <w:r w:rsidR="00722065">
              <w:rPr>
                <w:lang w:val="ru-RU"/>
              </w:rPr>
              <w:t>9</w:t>
            </w:r>
            <w:r w:rsidR="002233F0">
              <w:rPr>
                <w:lang w:val="ru-RU"/>
              </w:rPr>
              <w:t>.03.</w:t>
            </w:r>
            <w:r w:rsidR="00220CDF">
              <w:rPr>
                <w:lang w:val="ru-RU"/>
              </w:rPr>
              <w:t>.2024г.</w:t>
            </w:r>
          </w:p>
        </w:tc>
      </w:tr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Pr="002233F0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ввести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действие с 01.01.2024.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подразделений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служб учреждения соответствующие документы, необходимые для обеспечения реализации учетной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бухгалтерского учета, документооборота, санкционирования расходов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на официальном сайте учреждения в течение 10 дней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Признать утратившим силу приказ от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бухгалтерского учета».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исполнением приказа возложить на главного бухгалтера </w:t>
      </w:r>
      <w:proofErr w:type="spell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Е.Ф.Мещенкову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300"/>
        <w:gridCol w:w="5410"/>
      </w:tblGrid>
      <w:tr w:rsidR="002F38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2233F0" w:rsidRDefault="007220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С.В.Коноваленко</w:t>
            </w:r>
            <w:proofErr w:type="spellEnd"/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8"/>
      </w:tblGrid>
      <w:tr w:rsid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722065" w:rsidRDefault="002233F0" w:rsidP="007220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326875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к 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22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875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 для целей бухгалтерского учета</w:t>
      </w:r>
    </w:p>
    <w:p w:rsidR="002F38BD" w:rsidRPr="00326875" w:rsidRDefault="002F38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 политика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МБУК «Парк</w:t>
      </w:r>
      <w:proofErr w:type="gram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proofErr w:type="gramEnd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 xml:space="preserve"> и О им.30</w:t>
      </w:r>
      <w:r w:rsidR="0072206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 xml:space="preserve">-летия </w:t>
      </w:r>
      <w:r w:rsidR="00722065">
        <w:rPr>
          <w:rFonts w:hAnsi="Times New Roman" w:cs="Times New Roman"/>
          <w:color w:val="000000"/>
          <w:sz w:val="24"/>
          <w:szCs w:val="24"/>
          <w:lang w:val="ru-RU"/>
        </w:rPr>
        <w:t>ККВ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2F38BD" w:rsidRPr="00326875" w:rsidRDefault="003268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ошибки», СГС «События после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отчетной даты», СГС «Информация 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8BD" w:rsidRPr="00C64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C642BF" w:rsidRDefault="00C64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 «Парк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 имени 300-летия ККВ»</w:t>
            </w:r>
          </w:p>
        </w:tc>
      </w:tr>
      <w:tr w:rsidR="002F38BD" w:rsidRPr="00722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2F38BD" w:rsidRPr="00722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.</w:t>
      </w:r>
      <w:proofErr w:type="gramEnd"/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бухгалтерия, возглавляемая главным бухгалтером.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2F38BD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2F38BD" w:rsidRPr="00326875" w:rsidRDefault="003268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(приложение 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. Технология 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составления, передачи документов для отражения в бухгалтерском учете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«Бухгалтерия», «Зарплата».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 бухгалтерского учета и их обмен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внутри учреждения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бухгалтерской программы «1С: Бухгалтерия государственного учреждения 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ГИИС «Электронный бюджет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4E17">
        <w:rPr>
          <w:rFonts w:hAnsi="Times New Roman" w:cs="Times New Roman"/>
          <w:color w:val="000000"/>
          <w:sz w:val="24"/>
          <w:szCs w:val="24"/>
        </w:rPr>
        <w:t>WEB</w:t>
      </w:r>
      <w:r w:rsidR="00E14E17" w:rsidRPr="00E14E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СУФД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квартала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отчетного года после сдачи отчетности производится запись копии базы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внешний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2F38BD" w:rsidRPr="00326875" w:rsidRDefault="00326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(приложение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2F38BD" w:rsidRPr="00326875" w:rsidRDefault="0032687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2F38BD" w:rsidRPr="00326875" w:rsidRDefault="0032687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(приложение 1</w:t>
      </w:r>
      <w:r w:rsidR="005A216C" w:rsidRPr="001363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363F4">
        <w:rPr>
          <w:rFonts w:hAnsi="Times New Roman" w:cs="Times New Roman"/>
          <w:color w:val="000000"/>
          <w:sz w:val="24"/>
          <w:szCs w:val="24"/>
        </w:rPr>
        <w:t> 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Право подписи учетных документов предоставлено сотрудникам, занимающим должности, перечисленные в приложении </w:t>
      </w:r>
      <w:r w:rsidR="005A216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 8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– по учету имущества.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2F38BD" w:rsidRPr="00326875" w:rsidRDefault="0032687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2F38BD" w:rsidRDefault="0032687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Одним первичным документом оформляется совокупность следующих фактов хозяйственной жизни: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составлены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названию, расшифровке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отличаются только суммой),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постоянных показателей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9.Формирование электронных регистров бухгалтерского учета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следующем порядке: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систематизируются первичные (сводные) учетные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датам совершения операций, дате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первичного документа;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0509213) по всем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отчетном месяце были обороты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расходных ордеров составляется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расходные кассовые ордера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статусом «подписан» аннулируются, если кассовая операция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включая день оформления ордера;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выбытии. При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сведениями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года;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стипендий заполняются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указанные выше, заполняются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Учетные регистры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труда, денежному довольствию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Х.302.11.000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заработной плате»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Х.302.12.000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Х.302.67.000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Х.302.96.000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выплатам текущего характера физическим лицам».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приложению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ведутся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обеспечения. Журналы формируются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 – оформление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документов в структурных подразделениях, в которых нет компьютеров, программных средств или интернета, необходимых для оформления электронных документов.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собственноручной подписью;</w:t>
      </w:r>
    </w:p>
    <w:p w:rsidR="002F38BD" w:rsidRDefault="00326875" w:rsidP="00DC1F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автоматически – на компьютере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посредством формирования электронного образа бумажного документа, содержащего обязательные реквизиты, предусмотренные формой документа.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распечатывается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передачи в бухгалтерию изготавливаются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с собственноручными подписями – бумажных или автоматически сформированных.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изготавливает, подписывает электронной цифровой подписью (далее – ЭП) и несет ответственность за соответствие подлиннику документа сотрудник, составивший соответствующий подлинник.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При невозможности ведомства получить документ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копии электронных первичных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заверяются руководителем собственноручной подписью.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заверения.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52н,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 При необходимости изготовления бумажных копий электронных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электронного документооборота</w:t>
      </w:r>
      <w:r w:rsidR="006E36D2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сертификате ЭП — кому выдан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действия.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сотрудник бухгалтерии,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обработку документа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регистра, ставит надпись «Копия верна», дату распечатки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свою подпись.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используются следующие бланки строгой отчетности:</w:t>
      </w:r>
    </w:p>
    <w:p w:rsidR="002F38BD" w:rsidRPr="00326875" w:rsidRDefault="00F967F2" w:rsidP="00DC1F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квитанция)</w:t>
      </w:r>
    </w:p>
    <w:p w:rsidR="002F38BD" w:rsidRDefault="00326875" w:rsidP="00DC1F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приобретения.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17. Перечень должностей сотрудников,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выдачу бланков строгой отчетности, приведен в приложении </w:t>
      </w:r>
      <w:r w:rsidR="00F967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 Особенности применения первичных документов: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18.2. В Табеле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Дополнительный оплачиваемый выходной день для прохождения 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18.3. Расчеты по заработной плате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выплатам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Расчетной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0504402)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Платежной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0504403).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18.4.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почте посредством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18.5. Учреждение применяет путевой лист, форма которого утверждена в приложении 5 к учетной политике.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Информация о лицензии на медицинский осмотр в сведениях о медосмотре не указывается.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один день – при коротких рейсах или перевозках в рамках одного дня;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длительность рейса – для регулярных перевозок – если срок рейса превышает один день;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 – месяц или неделю – для нерегулярных перевозок независимо от продолжительности рейса.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</w:t>
      </w:r>
      <w:r w:rsidR="00C05767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приложения № 2 к СГС «Учетная политика, оценочные значения и ошибки».</w:t>
      </w:r>
    </w:p>
    <w:p w:rsidR="002F38BD" w:rsidRPr="00326875" w:rsidRDefault="00326875" w:rsidP="00D718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817">
        <w:rPr>
          <w:rFonts w:hAnsi="Times New Roman" w:cs="Times New Roman"/>
          <w:color w:val="000000"/>
          <w:sz w:val="24"/>
          <w:szCs w:val="24"/>
          <w:lang w:val="ru-RU"/>
        </w:rPr>
        <w:t>19. Сотрудник, ответственный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оформление расчетных листков, высылает каждому сотруднику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корпоративную электронную почту расчетный листок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выдачи зарплаты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вторую половину месяца.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 w:rsidRPr="00722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F38BD" w:rsidRPr="00326875" w:rsidRDefault="00326875" w:rsidP="00AA3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801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F38BD" w:rsidRDefault="00326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F38BD" w:rsidRPr="00722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F38BD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2F38BD" w:rsidRPr="007220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Инструкции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 счету 0.303.05.000 «Расчеты по прочим платежам в бюджет» 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Pr="00326875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942452" w:rsidRPr="00326875" w:rsidRDefault="00942452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5 -  «Экологический сбор» (0.303.65.000)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хозяйственный», приведен в приложении 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2F38BD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  <w:proofErr w:type="gramEnd"/>
    </w:p>
    <w:p w:rsidR="002F38BD" w:rsidRDefault="00326875" w:rsidP="00DC1F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имущественный объект. Необходимость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объединяемых объектов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проведении ремонтов (модернизаций,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2F38BD" w:rsidRDefault="00326875" w:rsidP="00DC1F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3.5. Учреждение дополнительно раскрывает в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нематериальных активов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объектам, которые созданы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объектам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изменения стоимости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недостач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излишков.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Х.Х.ХХХХХХ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.Х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ХХХ, где: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2F38BD" w:rsidRDefault="00326875" w:rsidP="00DC1F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материальные объекты, указанные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98–99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2F38BD" w:rsidRDefault="00326875" w:rsidP="00DC1F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ограниченным сроком годности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продукты питания, медикаменты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др.,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применении единиц учета «однородная (реестровая) группа запасов»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«партия» принимает бухгалтер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аналитического (управленческого) учета незавершенное производство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5.4. Товары, 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реализацию,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цене реализации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обособлением торговой наценки.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5.5.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5.6.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5.8.1.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счете 105.36 «Прочие материальные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запасы».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перчатки, приобретенные для комплектов одежды,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105.05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345.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Установлены следующие особенности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5.10.1. Особенности учета транспортно-заготовительных расходов.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фактическую стоимость материальных запасов включаются транспортно-заготовительные расходы (ТЗР),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погрузочно-разгрузочными работами;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заготовкой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доставкой материальных запасов;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норм естественной убыли;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весу или объему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ассортимента полученных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одну поставку включено несколько разнородных групп материальных запасов,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сначала ТЗР распределяются между этими группами.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5.10.2. Особенности приобретения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горюче-смазочных материалов (ГСМ).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 Исключение составляют выезды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 учреждения,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следования отсутствуют АЗС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горюче-смазочных материалов (ГСМ) разрабатываются специализированной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руководителя учреждения. 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выше норм, установленных приказом руководителя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5.10.3.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складе. Результаты таких проверок фиксируются 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проводится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месяца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ремонт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замену предметов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перемещению мягкого инвентаря между материально ответственными лицами отражаются в Накладной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внутреннее перемещение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д.). Пригодная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5.10.4.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Особенности учета карт </w:t>
      </w:r>
      <w:proofErr w:type="spellStart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признаются активом учреждения, поскольку учреждение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вправе без согласия водителя изъять карту при его увольнении, уничтожить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или аннулировать.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управленческого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сохранностью карты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5.10.6. Учет запчастей за балансом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«Запасные части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транспортным средствам, выданные взамен изношенных»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условной оценке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 запасные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комплектующие), такие как:</w:t>
      </w:r>
      <w:proofErr w:type="gramEnd"/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аккумуляторы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аптечки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Default="00326875" w:rsidP="00DC1F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поврежденной или не подлежащей ремонту шины принимает комиссия учреждения</w:t>
      </w:r>
      <w:r w:rsidR="00D71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комиссия оформляет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карточке учета автомобильной шины,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форма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разработана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Накладной на внутреннее перемещение (ф. 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автомобилей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 0.105.36.000 «Прочие материальные запасы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иное движимое имущество учреждения»;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безвозмездном поступлении автомобиля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документальной передачей остатков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запасных частей, учитываемых передающей стороной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подлежащих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указанном счете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политикой, оприходование запчастей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 производится.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отражается: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другой автомобиль;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автомобилем.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установленным основаниям;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349–350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5.11. Особенности списания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посуда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4D4">
        <w:rPr>
          <w:rFonts w:hAnsi="Times New Roman" w:cs="Times New Roman"/>
          <w:color w:val="000000"/>
          <w:sz w:val="24"/>
          <w:szCs w:val="24"/>
          <w:lang w:val="ru-RU"/>
        </w:rPr>
        <w:t>5.11.3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 расписывается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При перевозке материальных запасов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ученой политике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</w:t>
      </w:r>
      <w:r w:rsidR="00EA44D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акте,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38BD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задания:</w:t>
      </w:r>
    </w:p>
    <w:p w:rsidR="002F38BD" w:rsidRDefault="000E43BE" w:rsidP="00DC1F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0E43BE" w:rsidRPr="000E43BE" w:rsidRDefault="000E43BE" w:rsidP="000E43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услуга «Организация и проведение мероприятий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(культурно-массовых)</w:t>
      </w:r>
    </w:p>
    <w:p w:rsidR="002F38BD" w:rsidRDefault="000E43BE" w:rsidP="00DC1F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счете КБК 4.109.61.000</w:t>
      </w:r>
    </w:p>
    <w:p w:rsidR="00DC1FF0" w:rsidRDefault="00DC1FF0" w:rsidP="00DC1FF0">
      <w:pPr>
        <w:numPr>
          <w:ilvl w:val="0"/>
          <w:numId w:val="3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Pr="00326875" w:rsidRDefault="00DC1FF0" w:rsidP="00DC1FF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 счете КБК 2.109.61.000-  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proofErr w:type="gramStart"/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Default="00DC1FF0" w:rsidP="00DC1F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DC1FF0" w:rsidRDefault="00326875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2F38BD" w:rsidRDefault="00326875" w:rsidP="00DC1F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2F38BD" w:rsidRDefault="00326875" w:rsidP="00DC1F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принимающих непосредственного участия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естественной убыли, пришедшие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2F38BD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2F38BD" w:rsidRDefault="00326875" w:rsidP="00DC1F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открытую для подотчетных сумм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 ответственного лица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>, на зарплатную карту на служебные командировки</w:t>
      </w:r>
      <w:proofErr w:type="gramStart"/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служебной записке или приказе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F448A">
        <w:rPr>
          <w:rFonts w:hAnsi="Times New Roman" w:cs="Times New Roman"/>
          <w:color w:val="000000"/>
          <w:sz w:val="24"/>
          <w:szCs w:val="24"/>
          <w:lang w:val="ru-RU"/>
        </w:rPr>
        <w:t xml:space="preserve">30(тридцати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бюджет» 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Х.303.25.000);</w:t>
      </w:r>
    </w:p>
    <w:p w:rsidR="002F38BD" w:rsidRPr="00326875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 19.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</w:t>
      </w:r>
      <w:r w:rsidR="009501C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BA75D8" w:rsidRDefault="00326875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="00BA75D8">
        <w:rPr>
          <w:rFonts w:hAnsi="Times New Roman" w:cs="Times New Roman"/>
          <w:color w:val="000000"/>
          <w:sz w:val="24"/>
          <w:szCs w:val="24"/>
          <w:lang w:val="ru-RU"/>
        </w:rPr>
        <w:t>Доходы текущего года начисляются:</w:t>
      </w:r>
    </w:p>
    <w:p w:rsidR="00BA75D8" w:rsidRDefault="00BA75D8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5D8" w:rsidRPr="00B01248" w:rsidRDefault="00BA75D8" w:rsidP="00BA75D8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передачи в аренду помещений – ежемесячно в последний день 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отработал период,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который предоставили отпуск;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2F38BD" w:rsidRDefault="00326875" w:rsidP="00DC1FF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отпускных персоналу. Порядок расчета резерва приведен в приложении 14.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методом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 на дату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12.7.4.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ремонту. Определяется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первый рабочий день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плановых показателей годовой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рассчитывается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суммы плановой выручки, умноженной на коэффициент предельного размера. Коэффициент рассчитывается как соотношение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гарантийный ремонт за предшествующие три года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выручки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предшествующие три года.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12.7.5.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 создается, если изменились условия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учреждения причинам, вследствие чего появилась вероятность убыточности заключенного договора. Основание для создания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финансово-экономическое обоснование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планового отдела, доказывающее, что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договора превышают доход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нему. Сумма резерва равна разнице между предполагаемыми доходами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расходами, увеличенной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санкций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договору. 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12.7.6.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договору (соглашению)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 учреждение обязано заплатить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основного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восстановить участок,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 был расположен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объект. Величина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предполагаемых затратах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восстановление участка.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12.7.7.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отчетного квартала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этот день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поступили первичные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контрагентов. Сумма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отдела. Расчет производится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 оказанных услугах, выполненных работах или поставленных товарах.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12.7.8.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равен сумме числящейся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 дебиторской задолженности.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резерв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Санкционирование расходов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обязательств (денежных обязательств)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</w:t>
      </w:r>
      <w:r w:rsidR="005C6EB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События после отчетной даты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Представительские расходы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 расходам относятся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официальным приемом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обслуживанием представителей других организаций,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переговорах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>А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официальный прием или обслуживание: завтрак, обед или иное аналогичное мероприятие для участников мероприятия;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питьевой водой, напитками;</w:t>
      </w:r>
    </w:p>
    <w:p w:rsidR="002F38BD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месту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15.2. Документами, подтверждающими обоснованность представительских расходов, являются: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назначении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 расходах, составленный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произведенных расходах.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16. Денежные документы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16.1. В составе денежных документов учитываются: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169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 Целевые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17.1. Расчеты с целевыми поступлениями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17 и целевыми выбытиями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инвентаризации приведены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402-ФЗ, раздел </w:t>
      </w:r>
      <w:r>
        <w:rPr>
          <w:rFonts w:hAnsi="Times New Roman" w:cs="Times New Roman"/>
          <w:color w:val="000000"/>
          <w:sz w:val="24"/>
          <w:szCs w:val="24"/>
        </w:rPr>
        <w:t>VIII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для проведения внезапной ревизии кассы приведен в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обеспечения внутреннего финансового контроля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осуществляет комиссия. Помимо комиссии, постоянный текущий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своими обязанностями.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внутреннем финансовом контроле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внутренних проверок финансово-хозяйственной деятельности приведен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до </w:t>
      </w:r>
      <w:r w:rsidR="00B760C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периодом;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="00B760CE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годом.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 величина денежных средств определяется прямым методом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рассчитывается как разница между всеми денежными притоками учреждения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видов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оттоками.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средств».</w:t>
      </w:r>
      <w:bookmarkStart w:id="0" w:name="_GoBack"/>
      <w:bookmarkEnd w:id="0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Бухгалтерская отчетность формируется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«Бюджет». Бумажная копия комплекта отчетности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целях раскрытия в годовой 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 юридических и физических лицах, на деятельность которых учреждение способно оказывать влияние или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оказывать влияние на деятельность учреждения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стороны), а также об операциях со связанными 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сотрудник, назначенный приказом руководителя, представляет в бухгалтерию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на 1 января года, следующего за отчетным.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представления информации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«Информация о связанных сторонах».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F38BD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 организации. Для физического лица указывается «физическое лицо»;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ГГГ».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главного бухгалтера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руководителя учреждения или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Распоряжение главы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518"/>
        <w:gridCol w:w="3423"/>
      </w:tblGrid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145F45" w:rsidRDefault="00145F45" w:rsidP="00145F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Е.Ф.Мещенкова</w:t>
            </w:r>
            <w:proofErr w:type="spellEnd"/>
          </w:p>
        </w:tc>
      </w:tr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sectPr w:rsidR="002F38BD" w:rsidSect="00A215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2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C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C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9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7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80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8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6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72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14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A0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3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B3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D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6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07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4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32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F3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6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7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0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F3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D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7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3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9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6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017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84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33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B3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92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AB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3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EF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0"/>
  </w:num>
  <w:num w:numId="3">
    <w:abstractNumId w:val="38"/>
  </w:num>
  <w:num w:numId="4">
    <w:abstractNumId w:val="48"/>
  </w:num>
  <w:num w:numId="5">
    <w:abstractNumId w:val="53"/>
  </w:num>
  <w:num w:numId="6">
    <w:abstractNumId w:val="20"/>
  </w:num>
  <w:num w:numId="7">
    <w:abstractNumId w:val="23"/>
  </w:num>
  <w:num w:numId="8">
    <w:abstractNumId w:val="7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15"/>
  </w:num>
  <w:num w:numId="14">
    <w:abstractNumId w:val="9"/>
  </w:num>
  <w:num w:numId="15">
    <w:abstractNumId w:val="33"/>
  </w:num>
  <w:num w:numId="16">
    <w:abstractNumId w:val="4"/>
  </w:num>
  <w:num w:numId="17">
    <w:abstractNumId w:val="52"/>
  </w:num>
  <w:num w:numId="18">
    <w:abstractNumId w:val="30"/>
  </w:num>
  <w:num w:numId="19">
    <w:abstractNumId w:val="18"/>
  </w:num>
  <w:num w:numId="20">
    <w:abstractNumId w:val="25"/>
  </w:num>
  <w:num w:numId="21">
    <w:abstractNumId w:val="41"/>
  </w:num>
  <w:num w:numId="22">
    <w:abstractNumId w:val="45"/>
  </w:num>
  <w:num w:numId="23">
    <w:abstractNumId w:val="32"/>
  </w:num>
  <w:num w:numId="24">
    <w:abstractNumId w:val="22"/>
  </w:num>
  <w:num w:numId="25">
    <w:abstractNumId w:val="49"/>
  </w:num>
  <w:num w:numId="26">
    <w:abstractNumId w:val="36"/>
  </w:num>
  <w:num w:numId="27">
    <w:abstractNumId w:val="46"/>
  </w:num>
  <w:num w:numId="28">
    <w:abstractNumId w:val="11"/>
  </w:num>
  <w:num w:numId="29">
    <w:abstractNumId w:val="44"/>
  </w:num>
  <w:num w:numId="30">
    <w:abstractNumId w:val="26"/>
  </w:num>
  <w:num w:numId="31">
    <w:abstractNumId w:val="14"/>
  </w:num>
  <w:num w:numId="32">
    <w:abstractNumId w:val="8"/>
  </w:num>
  <w:num w:numId="33">
    <w:abstractNumId w:val="51"/>
  </w:num>
  <w:num w:numId="34">
    <w:abstractNumId w:val="29"/>
  </w:num>
  <w:num w:numId="35">
    <w:abstractNumId w:val="1"/>
  </w:num>
  <w:num w:numId="36">
    <w:abstractNumId w:val="16"/>
  </w:num>
  <w:num w:numId="37">
    <w:abstractNumId w:val="54"/>
  </w:num>
  <w:num w:numId="38">
    <w:abstractNumId w:val="40"/>
  </w:num>
  <w:num w:numId="39">
    <w:abstractNumId w:val="13"/>
  </w:num>
  <w:num w:numId="40">
    <w:abstractNumId w:val="19"/>
  </w:num>
  <w:num w:numId="41">
    <w:abstractNumId w:val="6"/>
  </w:num>
  <w:num w:numId="42">
    <w:abstractNumId w:val="50"/>
  </w:num>
  <w:num w:numId="43">
    <w:abstractNumId w:val="34"/>
  </w:num>
  <w:num w:numId="44">
    <w:abstractNumId w:val="5"/>
  </w:num>
  <w:num w:numId="45">
    <w:abstractNumId w:val="42"/>
  </w:num>
  <w:num w:numId="46">
    <w:abstractNumId w:val="21"/>
  </w:num>
  <w:num w:numId="47">
    <w:abstractNumId w:val="2"/>
  </w:num>
  <w:num w:numId="48">
    <w:abstractNumId w:val="43"/>
  </w:num>
  <w:num w:numId="49">
    <w:abstractNumId w:val="12"/>
  </w:num>
  <w:num w:numId="50">
    <w:abstractNumId w:val="3"/>
  </w:num>
  <w:num w:numId="51">
    <w:abstractNumId w:val="31"/>
  </w:num>
  <w:num w:numId="52">
    <w:abstractNumId w:val="10"/>
  </w:num>
  <w:num w:numId="53">
    <w:abstractNumId w:val="17"/>
  </w:num>
  <w:num w:numId="54">
    <w:abstractNumId w:val="35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81"/>
    <w:rsid w:val="000B20AC"/>
    <w:rsid w:val="000E43BE"/>
    <w:rsid w:val="000F0613"/>
    <w:rsid w:val="001363F4"/>
    <w:rsid w:val="00145F45"/>
    <w:rsid w:val="001F448A"/>
    <w:rsid w:val="00220CDF"/>
    <w:rsid w:val="002233F0"/>
    <w:rsid w:val="002D33B1"/>
    <w:rsid w:val="002D3591"/>
    <w:rsid w:val="002F38BD"/>
    <w:rsid w:val="00326875"/>
    <w:rsid w:val="003514A0"/>
    <w:rsid w:val="003A17ED"/>
    <w:rsid w:val="003A5B99"/>
    <w:rsid w:val="00463545"/>
    <w:rsid w:val="004F7E17"/>
    <w:rsid w:val="005A05CE"/>
    <w:rsid w:val="005A216C"/>
    <w:rsid w:val="005C6EB3"/>
    <w:rsid w:val="0064305B"/>
    <w:rsid w:val="00653AF6"/>
    <w:rsid w:val="006E36D2"/>
    <w:rsid w:val="00711CC2"/>
    <w:rsid w:val="00722065"/>
    <w:rsid w:val="00795CFF"/>
    <w:rsid w:val="0089132E"/>
    <w:rsid w:val="008E66AD"/>
    <w:rsid w:val="00942452"/>
    <w:rsid w:val="009501CE"/>
    <w:rsid w:val="00A21572"/>
    <w:rsid w:val="00AA3F17"/>
    <w:rsid w:val="00B73A5A"/>
    <w:rsid w:val="00B760CE"/>
    <w:rsid w:val="00BA75D8"/>
    <w:rsid w:val="00C05767"/>
    <w:rsid w:val="00C642BF"/>
    <w:rsid w:val="00D71817"/>
    <w:rsid w:val="00DA3C47"/>
    <w:rsid w:val="00DC1FF0"/>
    <w:rsid w:val="00DC212E"/>
    <w:rsid w:val="00E14E17"/>
    <w:rsid w:val="00E219F2"/>
    <w:rsid w:val="00E438A1"/>
    <w:rsid w:val="00EA4071"/>
    <w:rsid w:val="00EA44D4"/>
    <w:rsid w:val="00EB6FE5"/>
    <w:rsid w:val="00F01E19"/>
    <w:rsid w:val="00F967F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38</Pages>
  <Words>12206</Words>
  <Characters>69575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32</cp:revision>
  <cp:lastPrinted>2024-03-20T11:34:00Z</cp:lastPrinted>
  <dcterms:created xsi:type="dcterms:W3CDTF">2011-11-02T04:15:00Z</dcterms:created>
  <dcterms:modified xsi:type="dcterms:W3CDTF">2024-03-20T11:36:00Z</dcterms:modified>
</cp:coreProperties>
</file>